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413E98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413E98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ТО ТС органов, осуществляющих </w:t>
            </w:r>
            <w:proofErr w:type="spellStart"/>
            <w:r>
              <w:rPr>
                <w:color w:val="392C69"/>
              </w:rPr>
              <w:t>оперативно-разыскную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 xml:space="preserve"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</w:t>
      </w:r>
      <w:proofErr w:type="spellStart"/>
      <w:r>
        <w:t>оперативно-разыскную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</w:t>
      </w:r>
      <w:r>
        <w:lastRenderedPageBreak/>
        <w:t>устройства (</w:t>
      </w:r>
      <w:proofErr w:type="spellStart"/>
      <w:r>
        <w:t>тахографа</w:t>
      </w:r>
      <w:proofErr w:type="spellEnd"/>
      <w:r>
        <w:t xml:space="preserve">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413E98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</w:t>
            </w:r>
            <w:proofErr w:type="spellStart"/>
            <w:r>
              <w:t>противотуманные</w:t>
            </w:r>
            <w:proofErr w:type="spellEnd"/>
            <w:r>
              <w:t xml:space="preserve">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</w:p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времени.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</w:t>
      </w:r>
      <w:proofErr w:type="spellStart"/>
      <w:r>
        <w:t>оперативно-разыскную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 xml:space="preserve"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</w:t>
            </w:r>
            <w:proofErr w:type="spellStart"/>
            <w:r>
              <w:t>гидросистеме</w:t>
            </w:r>
            <w:proofErr w:type="spellEnd"/>
            <w:r>
              <w:t xml:space="preserve">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lastRenderedPageBreak/>
              <w:t>Stamp</w:t>
            </w:r>
            <w:proofErr w:type="spellEnd"/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15F"/>
    <w:rsid w:val="00413E98"/>
    <w:rsid w:val="00447E43"/>
    <w:rsid w:val="00C4415F"/>
    <w:rsid w:val="00E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12321</Words>
  <Characters>70234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misha</cp:lastModifiedBy>
  <cp:revision>2</cp:revision>
  <dcterms:created xsi:type="dcterms:W3CDTF">2021-05-25T16:42:00Z</dcterms:created>
  <dcterms:modified xsi:type="dcterms:W3CDTF">2021-05-25T16:42:00Z</dcterms:modified>
</cp:coreProperties>
</file>